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A22" w:rsidRDefault="00102A22" w:rsidP="00102A22">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102A22" w:rsidRPr="001D4FFE" w:rsidRDefault="00102A22" w:rsidP="00102A22">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E1372C">
        <w:rPr>
          <w:rFonts w:ascii="Lato" w:eastAsia="Calibri" w:hAnsi="Lato" w:cs="Times New Roman"/>
          <w:b/>
          <w:sz w:val="20"/>
          <w:szCs w:val="20"/>
        </w:rPr>
        <w:t>19</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720DBC">
      <w:pPr>
        <w:spacing w:after="0" w:line="240" w:lineRule="auto"/>
        <w:jc w:val="both"/>
        <w:rPr>
          <w:rFonts w:ascii="Lato" w:hAnsi="Lato" w:cs="Arial"/>
          <w:color w:val="FF0000"/>
          <w:sz w:val="20"/>
          <w:szCs w:val="20"/>
        </w:rPr>
      </w:pPr>
    </w:p>
    <w:p w:rsidR="00915DA7" w:rsidRDefault="00915DA7" w:rsidP="00915DA7">
      <w:pPr>
        <w:spacing w:after="0" w:line="240" w:lineRule="auto"/>
        <w:jc w:val="both"/>
        <w:rPr>
          <w:rFonts w:ascii="Lato" w:hAnsi="Lato" w:cs="Arial"/>
          <w:color w:val="FF0000"/>
          <w:sz w:val="20"/>
          <w:szCs w:val="20"/>
        </w:rPr>
      </w:pPr>
    </w:p>
    <w:p w:rsidR="000531A1" w:rsidRPr="00C24ADC" w:rsidRDefault="000531A1" w:rsidP="00915DA7">
      <w:pPr>
        <w:spacing w:after="0" w:line="240" w:lineRule="auto"/>
        <w:jc w:val="both"/>
        <w:rPr>
          <w:rFonts w:ascii="Lato" w:hAnsi="Lato" w:cs="Arial"/>
          <w:color w:val="FF0000"/>
          <w:sz w:val="20"/>
          <w:szCs w:val="20"/>
        </w:rPr>
      </w:pPr>
    </w:p>
    <w:p w:rsidR="000531A1" w:rsidRDefault="000531A1" w:rsidP="000531A1">
      <w:pPr>
        <w:spacing w:after="0" w:line="240" w:lineRule="auto"/>
        <w:jc w:val="center"/>
        <w:rPr>
          <w:rFonts w:ascii="Lato" w:hAnsi="Lato"/>
          <w:b/>
          <w:sz w:val="20"/>
          <w:szCs w:val="20"/>
        </w:rPr>
      </w:pPr>
      <w:r>
        <w:rPr>
          <w:rFonts w:ascii="Lato" w:hAnsi="Lato"/>
          <w:b/>
          <w:sz w:val="20"/>
          <w:szCs w:val="20"/>
        </w:rPr>
        <w:t>Conseil d’Administration du 4 novembre 2025</w:t>
      </w:r>
    </w:p>
    <w:p w:rsidR="000531A1" w:rsidRDefault="000531A1" w:rsidP="000531A1">
      <w:pPr>
        <w:spacing w:after="0" w:line="240" w:lineRule="auto"/>
        <w:jc w:val="center"/>
        <w:rPr>
          <w:rFonts w:ascii="Lato" w:hAnsi="Lato"/>
          <w:b/>
          <w:sz w:val="20"/>
          <w:szCs w:val="20"/>
        </w:rPr>
      </w:pPr>
    </w:p>
    <w:p w:rsidR="000531A1" w:rsidRDefault="000531A1" w:rsidP="000531A1">
      <w:pPr>
        <w:spacing w:after="0" w:line="240" w:lineRule="auto"/>
        <w:jc w:val="center"/>
        <w:rPr>
          <w:rFonts w:ascii="Lato" w:hAnsi="Lato"/>
          <w:b/>
          <w:sz w:val="20"/>
          <w:szCs w:val="20"/>
        </w:rPr>
      </w:pPr>
    </w:p>
    <w:p w:rsidR="000531A1" w:rsidRDefault="000531A1" w:rsidP="000531A1">
      <w:pPr>
        <w:spacing w:after="0" w:line="240" w:lineRule="auto"/>
        <w:jc w:val="center"/>
        <w:rPr>
          <w:rFonts w:ascii="Lato" w:hAnsi="Lato"/>
          <w:b/>
          <w:sz w:val="20"/>
          <w:szCs w:val="20"/>
        </w:rPr>
      </w:pPr>
    </w:p>
    <w:p w:rsidR="000531A1" w:rsidRDefault="000531A1" w:rsidP="000531A1">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rsidR="000531A1" w:rsidRDefault="000531A1" w:rsidP="000531A1">
      <w:pPr>
        <w:spacing w:after="0" w:line="240" w:lineRule="auto"/>
        <w:jc w:val="both"/>
        <w:rPr>
          <w:rFonts w:ascii="Lato" w:eastAsia="Calibri" w:hAnsi="Lato" w:cs="Times New Roman"/>
          <w:color w:val="FF0000"/>
          <w:sz w:val="20"/>
          <w:szCs w:val="20"/>
        </w:rPr>
      </w:pPr>
    </w:p>
    <w:p w:rsidR="000531A1" w:rsidRDefault="000531A1" w:rsidP="000531A1">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rsidR="000531A1" w:rsidRDefault="000531A1" w:rsidP="000531A1">
      <w:pPr>
        <w:spacing w:after="0" w:line="240" w:lineRule="auto"/>
        <w:jc w:val="both"/>
        <w:rPr>
          <w:rFonts w:ascii="Lato" w:hAnsi="Lato" w:cs="Arial"/>
          <w:sz w:val="20"/>
          <w:szCs w:val="20"/>
        </w:rPr>
      </w:pPr>
    </w:p>
    <w:p w:rsidR="000531A1" w:rsidRDefault="000531A1" w:rsidP="000531A1">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rsidR="000531A1" w:rsidRDefault="000531A1" w:rsidP="000531A1">
      <w:pPr>
        <w:spacing w:after="0" w:line="240" w:lineRule="auto"/>
        <w:jc w:val="both"/>
        <w:rPr>
          <w:rFonts w:ascii="Lato" w:hAnsi="Lato" w:cs="Arial"/>
          <w:sz w:val="20"/>
          <w:szCs w:val="20"/>
        </w:rPr>
      </w:pPr>
    </w:p>
    <w:p w:rsidR="000531A1" w:rsidRDefault="000531A1" w:rsidP="000531A1">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rsidR="00915DA7" w:rsidRDefault="00915DA7" w:rsidP="00915DA7">
      <w:pPr>
        <w:spacing w:after="0" w:line="240" w:lineRule="auto"/>
        <w:jc w:val="both"/>
        <w:rPr>
          <w:rFonts w:ascii="Lato" w:hAnsi="Lato" w:cs="Arial"/>
          <w:sz w:val="20"/>
          <w:szCs w:val="20"/>
        </w:rPr>
      </w:pPr>
    </w:p>
    <w:p w:rsidR="00915DA7" w:rsidRPr="00C24ADC" w:rsidRDefault="00915DA7" w:rsidP="00D37A55">
      <w:pPr>
        <w:spacing w:after="0" w:line="240" w:lineRule="auto"/>
        <w:rPr>
          <w:rFonts w:ascii="Lato" w:eastAsia="Times New Roman" w:hAnsi="Lato" w:cs="Arial"/>
          <w:b/>
          <w:sz w:val="20"/>
          <w:szCs w:val="20"/>
          <w:lang w:eastAsia="fr-FR"/>
        </w:rPr>
      </w:pPr>
    </w:p>
    <w:p w:rsidR="0049685F" w:rsidRDefault="00334441" w:rsidP="0049685F">
      <w:pPr>
        <w:spacing w:after="160" w:line="252" w:lineRule="auto"/>
        <w:contextualSpacing/>
        <w:jc w:val="both"/>
        <w:rPr>
          <w:rFonts w:ascii="Lato" w:hAnsi="Lato" w:cs="Tahoma"/>
          <w:b/>
        </w:rPr>
      </w:pPr>
      <w:r w:rsidRPr="00C24ADC">
        <w:rPr>
          <w:rFonts w:ascii="Lato" w:eastAsia="Times New Roman" w:hAnsi="Lato" w:cstheme="minorHAnsi"/>
          <w:b/>
          <w:sz w:val="20"/>
          <w:szCs w:val="20"/>
          <w:u w:val="single"/>
          <w:lang w:eastAsia="fr-FR"/>
        </w:rPr>
        <w:t>Objet :</w:t>
      </w:r>
      <w:r w:rsidR="0049685F" w:rsidRPr="0049685F">
        <w:rPr>
          <w:rFonts w:ascii="Lato" w:hAnsi="Lato" w:cs="Tahoma"/>
          <w:b/>
          <w:u w:val="single"/>
        </w:rPr>
        <w:t xml:space="preserve"> </w:t>
      </w:r>
      <w:r w:rsidR="00915DA7" w:rsidRPr="00E00961">
        <w:rPr>
          <w:rFonts w:ascii="Lato" w:hAnsi="Lato" w:cs="Tahoma"/>
          <w:b/>
        </w:rPr>
        <w:t>Mise à jour de l’organisation du télétravail au sein d’Aveyron Ingénierie</w:t>
      </w:r>
    </w:p>
    <w:p w:rsidR="00915DA7" w:rsidRPr="00915DA7" w:rsidRDefault="00915DA7" w:rsidP="00915DA7">
      <w:pPr>
        <w:pStyle w:val="NormalWeb"/>
        <w:rPr>
          <w:rFonts w:ascii="Lato" w:hAnsi="Lato"/>
          <w:sz w:val="20"/>
        </w:rPr>
      </w:pPr>
      <w:r w:rsidRPr="00915DA7">
        <w:rPr>
          <w:rFonts w:ascii="Lato" w:hAnsi="Lato"/>
          <w:b/>
          <w:sz w:val="20"/>
        </w:rPr>
        <w:t>Vu le Code Général de la Fonction Publique</w:t>
      </w:r>
      <w:r w:rsidRPr="00915DA7">
        <w:rPr>
          <w:rFonts w:ascii="Lato" w:hAnsi="Lato"/>
          <w:sz w:val="20"/>
        </w:rPr>
        <w:t>, notamment son article L.313-1,</w:t>
      </w:r>
    </w:p>
    <w:p w:rsidR="00915DA7" w:rsidRPr="00915DA7" w:rsidRDefault="00915DA7" w:rsidP="00915DA7">
      <w:pPr>
        <w:pStyle w:val="NormalWeb"/>
        <w:rPr>
          <w:rFonts w:ascii="Lato" w:hAnsi="Lato"/>
          <w:sz w:val="20"/>
        </w:rPr>
      </w:pPr>
      <w:r w:rsidRPr="00915DA7">
        <w:rPr>
          <w:rFonts w:ascii="Lato" w:hAnsi="Lato"/>
          <w:b/>
          <w:sz w:val="20"/>
        </w:rPr>
        <w:t>Vu la délibération n°2020-024 du 18 décembre 2020</w:t>
      </w:r>
      <w:r w:rsidRPr="00915DA7">
        <w:rPr>
          <w:rFonts w:ascii="Lato" w:hAnsi="Lato"/>
          <w:sz w:val="20"/>
        </w:rPr>
        <w:t xml:space="preserve"> relative à la mise en place du télétravail au sein d’Aveyron Ingénierie,</w:t>
      </w:r>
    </w:p>
    <w:p w:rsidR="00915DA7" w:rsidRPr="00915DA7" w:rsidRDefault="00915DA7" w:rsidP="00915DA7">
      <w:pPr>
        <w:pStyle w:val="NormalWeb"/>
        <w:rPr>
          <w:rFonts w:ascii="Lato" w:hAnsi="Lato"/>
          <w:sz w:val="20"/>
        </w:rPr>
      </w:pPr>
      <w:r w:rsidRPr="00915DA7">
        <w:rPr>
          <w:rFonts w:ascii="Lato" w:hAnsi="Lato"/>
          <w:b/>
          <w:sz w:val="20"/>
        </w:rPr>
        <w:t>Vu la Charte du Télétravail applicable au Département de l’Aveyron</w:t>
      </w:r>
      <w:r w:rsidRPr="00915DA7">
        <w:rPr>
          <w:rFonts w:ascii="Lato" w:hAnsi="Lato"/>
          <w:sz w:val="20"/>
        </w:rPr>
        <w:t xml:space="preserve"> et la nécessité d’harmoniser la politique d’Aveyron Ingénierie avec celle-ci,</w:t>
      </w:r>
    </w:p>
    <w:p w:rsidR="00915DA7" w:rsidRDefault="00915DA7" w:rsidP="00915DA7">
      <w:pPr>
        <w:pStyle w:val="NormalWeb"/>
        <w:spacing w:before="0" w:beforeAutospacing="0" w:after="0" w:afterAutospacing="0"/>
        <w:rPr>
          <w:rFonts w:ascii="Lato" w:hAnsi="Lato"/>
          <w:sz w:val="20"/>
        </w:rPr>
      </w:pPr>
      <w:r w:rsidRPr="00915DA7">
        <w:rPr>
          <w:rFonts w:ascii="Lato" w:hAnsi="Lato"/>
          <w:b/>
          <w:sz w:val="20"/>
        </w:rPr>
        <w:t>Considéran</w:t>
      </w:r>
      <w:r w:rsidRPr="00915DA7">
        <w:rPr>
          <w:rFonts w:ascii="Lato" w:hAnsi="Lato"/>
          <w:sz w:val="20"/>
        </w:rPr>
        <w:t>t :</w:t>
      </w:r>
    </w:p>
    <w:p w:rsidR="000531A1" w:rsidRPr="00915DA7" w:rsidRDefault="000531A1" w:rsidP="00915DA7">
      <w:pPr>
        <w:pStyle w:val="NormalWeb"/>
        <w:spacing w:before="0" w:beforeAutospacing="0" w:after="0" w:afterAutospacing="0"/>
        <w:rPr>
          <w:rFonts w:ascii="Lato" w:hAnsi="Lato"/>
          <w:sz w:val="20"/>
        </w:rPr>
      </w:pPr>
    </w:p>
    <w:p w:rsidR="00915DA7" w:rsidRPr="00915DA7" w:rsidRDefault="00915DA7" w:rsidP="00915DA7">
      <w:pPr>
        <w:pStyle w:val="NormalWeb"/>
        <w:numPr>
          <w:ilvl w:val="0"/>
          <w:numId w:val="13"/>
        </w:numPr>
        <w:spacing w:before="0" w:beforeAutospacing="0" w:after="0" w:afterAutospacing="0"/>
        <w:rPr>
          <w:rFonts w:ascii="Lato" w:hAnsi="Lato"/>
          <w:sz w:val="20"/>
        </w:rPr>
      </w:pPr>
      <w:proofErr w:type="gramStart"/>
      <w:r w:rsidRPr="00915DA7">
        <w:rPr>
          <w:rFonts w:ascii="Lato" w:hAnsi="Lato"/>
          <w:sz w:val="20"/>
        </w:rPr>
        <w:t>que</w:t>
      </w:r>
      <w:proofErr w:type="gramEnd"/>
      <w:r w:rsidRPr="00915DA7">
        <w:rPr>
          <w:rFonts w:ascii="Lato" w:hAnsi="Lato"/>
          <w:sz w:val="20"/>
        </w:rPr>
        <w:t xml:space="preserve"> le télétravail répond à plusieurs enjeux majeurs, notamment la conciliation entre vie professionnelle et vie privée, la réduction des coûts et risques liés aux déplacements, la protection de l’environnement, l’amélioration des conditions de travail ainsi que la facilitation de l’intégration et du maintien dans l’emploi des agents,</w:t>
      </w:r>
    </w:p>
    <w:p w:rsidR="00915DA7" w:rsidRPr="00915DA7" w:rsidRDefault="00915DA7" w:rsidP="00915DA7">
      <w:pPr>
        <w:pStyle w:val="NormalWeb"/>
        <w:numPr>
          <w:ilvl w:val="0"/>
          <w:numId w:val="13"/>
        </w:numPr>
        <w:rPr>
          <w:rFonts w:ascii="Lato" w:hAnsi="Lato"/>
          <w:sz w:val="20"/>
        </w:rPr>
      </w:pPr>
      <w:proofErr w:type="gramStart"/>
      <w:r w:rsidRPr="00915DA7">
        <w:rPr>
          <w:rFonts w:ascii="Lato" w:hAnsi="Lato"/>
          <w:sz w:val="20"/>
        </w:rPr>
        <w:t>que</w:t>
      </w:r>
      <w:proofErr w:type="gramEnd"/>
      <w:r w:rsidRPr="00915DA7">
        <w:rPr>
          <w:rFonts w:ascii="Lato" w:hAnsi="Lato"/>
          <w:sz w:val="20"/>
        </w:rPr>
        <w:t xml:space="preserve"> le télétravail est un levier d’attractivité et d’amélioration de la qualité de vie au travail,</w:t>
      </w:r>
    </w:p>
    <w:p w:rsidR="00915DA7" w:rsidRPr="00915DA7" w:rsidRDefault="00915DA7" w:rsidP="00915DA7">
      <w:pPr>
        <w:pStyle w:val="NormalWeb"/>
        <w:numPr>
          <w:ilvl w:val="0"/>
          <w:numId w:val="13"/>
        </w:numPr>
        <w:rPr>
          <w:rFonts w:ascii="Lato" w:hAnsi="Lato"/>
          <w:sz w:val="20"/>
        </w:rPr>
      </w:pPr>
      <w:proofErr w:type="gramStart"/>
      <w:r w:rsidRPr="00915DA7">
        <w:rPr>
          <w:rFonts w:ascii="Lato" w:hAnsi="Lato"/>
          <w:sz w:val="20"/>
        </w:rPr>
        <w:t>que</w:t>
      </w:r>
      <w:proofErr w:type="gramEnd"/>
      <w:r w:rsidRPr="00915DA7">
        <w:rPr>
          <w:rFonts w:ascii="Lato" w:hAnsi="Lato"/>
          <w:sz w:val="20"/>
        </w:rPr>
        <w:t xml:space="preserve"> la crise sanitaire liée à la COVID-19 a modifié les perceptions du travail à distance,</w:t>
      </w:r>
    </w:p>
    <w:p w:rsidR="00915DA7" w:rsidRPr="00915DA7" w:rsidRDefault="00915DA7" w:rsidP="00915DA7">
      <w:pPr>
        <w:pStyle w:val="NormalWeb"/>
        <w:numPr>
          <w:ilvl w:val="0"/>
          <w:numId w:val="13"/>
        </w:numPr>
        <w:rPr>
          <w:rFonts w:ascii="Lato" w:hAnsi="Lato"/>
          <w:sz w:val="20"/>
        </w:rPr>
      </w:pPr>
      <w:proofErr w:type="gramStart"/>
      <w:r w:rsidRPr="00915DA7">
        <w:rPr>
          <w:rFonts w:ascii="Lato" w:hAnsi="Lato"/>
          <w:sz w:val="20"/>
        </w:rPr>
        <w:t>qu’après</w:t>
      </w:r>
      <w:proofErr w:type="gramEnd"/>
      <w:r w:rsidRPr="00915DA7">
        <w:rPr>
          <w:rFonts w:ascii="Lato" w:hAnsi="Lato"/>
          <w:sz w:val="20"/>
        </w:rPr>
        <w:t xml:space="preserve"> une expérience de cinq années, une révision des modalités d’octroi du télétravail a été conduite,</w:t>
      </w:r>
    </w:p>
    <w:p w:rsidR="00924986" w:rsidRPr="00915DA7" w:rsidRDefault="00915DA7" w:rsidP="00915DA7">
      <w:pPr>
        <w:pStyle w:val="NormalWeb"/>
        <w:rPr>
          <w:rFonts w:ascii="Lato" w:hAnsi="Lato" w:cstheme="minorHAnsi"/>
          <w:b/>
          <w:sz w:val="18"/>
          <w:szCs w:val="20"/>
        </w:rPr>
      </w:pPr>
      <w:r w:rsidRPr="00915DA7">
        <w:rPr>
          <w:rFonts w:ascii="Lato" w:hAnsi="Lato"/>
          <w:b/>
          <w:sz w:val="20"/>
        </w:rPr>
        <w:t>Considérant que cette nouvelle Charte</w:t>
      </w:r>
      <w:r w:rsidRPr="00915DA7">
        <w:rPr>
          <w:rFonts w:ascii="Lato" w:hAnsi="Lato"/>
          <w:sz w:val="20"/>
        </w:rPr>
        <w:t xml:space="preserve">, a été présentée au Comité Social Territorial du Centre de Gestion de l’Aveyron le 25 septembre 2025, </w:t>
      </w:r>
    </w:p>
    <w:p w:rsidR="000051D8" w:rsidRPr="00381766"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rsidR="000051D8" w:rsidRPr="00381766" w:rsidRDefault="000051D8" w:rsidP="000051D8">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rsidR="000051D8" w:rsidRDefault="000051D8" w:rsidP="000051D8">
      <w:pPr>
        <w:spacing w:after="0" w:line="240" w:lineRule="auto"/>
        <w:jc w:val="both"/>
        <w:rPr>
          <w:rFonts w:ascii="Lato" w:hAnsi="Lato" w:cs="Arial"/>
          <w:b/>
        </w:rPr>
      </w:pPr>
    </w:p>
    <w:p w:rsidR="000051D8" w:rsidRPr="00381766" w:rsidRDefault="00807939" w:rsidP="000051D8">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sidR="000051D8" w:rsidRPr="00381766">
        <w:rPr>
          <w:rFonts w:ascii="Lato" w:eastAsia="Times New Roman" w:hAnsi="Lato" w:cs="Tahoma"/>
          <w:b/>
          <w:sz w:val="20"/>
          <w:szCs w:val="20"/>
          <w:lang w:eastAsia="fr-FR"/>
        </w:rPr>
        <w:t xml:space="preserve">décide </w:t>
      </w:r>
      <w:r w:rsidR="001C1FEB">
        <w:rPr>
          <w:rFonts w:ascii="Lato" w:eastAsia="Times New Roman" w:hAnsi="Lato" w:cs="Tahoma"/>
          <w:sz w:val="20"/>
          <w:szCs w:val="20"/>
          <w:lang w:eastAsia="fr-FR"/>
        </w:rPr>
        <w:t xml:space="preserve">d’adopter la </w:t>
      </w:r>
      <w:r w:rsidR="00915DA7">
        <w:rPr>
          <w:rFonts w:ascii="Lato" w:eastAsia="Times New Roman" w:hAnsi="Lato" w:cs="Tahoma"/>
          <w:sz w:val="20"/>
          <w:szCs w:val="20"/>
          <w:lang w:eastAsia="fr-FR"/>
        </w:rPr>
        <w:t>nouvelle Charte du Télétravail d’Aveyron Ingénierie, avec une entrée en vigueur à compter du 1</w:t>
      </w:r>
      <w:r w:rsidR="00915DA7" w:rsidRPr="00915DA7">
        <w:rPr>
          <w:rFonts w:ascii="Lato" w:eastAsia="Times New Roman" w:hAnsi="Lato" w:cs="Tahoma"/>
          <w:sz w:val="20"/>
          <w:szCs w:val="20"/>
          <w:vertAlign w:val="superscript"/>
          <w:lang w:eastAsia="fr-FR"/>
        </w:rPr>
        <w:t>er</w:t>
      </w:r>
      <w:r w:rsidR="00915DA7">
        <w:rPr>
          <w:rFonts w:ascii="Lato" w:eastAsia="Times New Roman" w:hAnsi="Lato" w:cs="Tahoma"/>
          <w:sz w:val="20"/>
          <w:szCs w:val="20"/>
          <w:lang w:eastAsia="fr-FR"/>
        </w:rPr>
        <w:t xml:space="preserve"> janvier 2026,</w:t>
      </w:r>
    </w:p>
    <w:p w:rsidR="00807939" w:rsidRPr="00E874C9" w:rsidRDefault="00807939" w:rsidP="00807939">
      <w:pPr>
        <w:spacing w:after="0" w:line="240" w:lineRule="auto"/>
        <w:jc w:val="both"/>
        <w:rPr>
          <w:rFonts w:ascii="Lato" w:hAnsi="Lato" w:cs="Tahoma"/>
          <w:color w:val="000000"/>
        </w:rPr>
      </w:pPr>
    </w:p>
    <w:p w:rsidR="001C1FEB" w:rsidRDefault="001C1FEB" w:rsidP="001C1FEB">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Pr="00C24ADC">
        <w:rPr>
          <w:rFonts w:ascii="Lato" w:eastAsia="Calibri" w:hAnsi="Lato" w:cs="Times New Roman"/>
          <w:b/>
          <w:sz w:val="20"/>
          <w:szCs w:val="20"/>
        </w:rPr>
        <w:t xml:space="preserve">autorise </w:t>
      </w:r>
      <w:r w:rsidRPr="00C24ADC">
        <w:rPr>
          <w:rFonts w:ascii="Lato" w:eastAsia="Calibri" w:hAnsi="Lato" w:cs="Times New Roman"/>
          <w:sz w:val="20"/>
          <w:szCs w:val="20"/>
        </w:rPr>
        <w:t xml:space="preserve">Monsieur le Président à </w:t>
      </w:r>
      <w:r w:rsidR="00915DA7">
        <w:rPr>
          <w:rFonts w:ascii="Lato" w:eastAsia="Calibri" w:hAnsi="Lato" w:cs="Times New Roman"/>
          <w:sz w:val="20"/>
          <w:szCs w:val="20"/>
        </w:rPr>
        <w:t>signer tout arrêté nécessaire à la mise en œuvre de cette Charte et à l’autorisation d’exercice des fonctions en télétravail des agents,</w:t>
      </w: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0531A1" w:rsidRDefault="000531A1" w:rsidP="001C1FEB">
      <w:pPr>
        <w:tabs>
          <w:tab w:val="left" w:pos="720"/>
          <w:tab w:val="left" w:pos="900"/>
        </w:tabs>
        <w:spacing w:after="0" w:line="240" w:lineRule="auto"/>
        <w:jc w:val="both"/>
        <w:rPr>
          <w:rFonts w:ascii="Lato" w:eastAsia="Calibri" w:hAnsi="Lato" w:cs="Times New Roman"/>
          <w:sz w:val="20"/>
          <w:szCs w:val="20"/>
        </w:rPr>
      </w:pPr>
    </w:p>
    <w:p w:rsidR="001C1FEB" w:rsidRPr="00915DA7" w:rsidRDefault="00915DA7" w:rsidP="00915DA7">
      <w:pPr>
        <w:spacing w:before="100" w:beforeAutospacing="1" w:after="100" w:afterAutospacing="1" w:line="240" w:lineRule="auto"/>
        <w:rPr>
          <w:rFonts w:ascii="Lato" w:eastAsia="Calibri" w:hAnsi="Lato" w:cs="Times New Roman"/>
          <w:sz w:val="18"/>
          <w:szCs w:val="20"/>
        </w:rPr>
      </w:pPr>
      <w:r w:rsidRPr="00915DA7">
        <w:rPr>
          <w:rFonts w:ascii="Times New Roman" w:eastAsia="Times New Roman" w:hAnsi="Symbol" w:cs="Times New Roman"/>
          <w:sz w:val="24"/>
          <w:szCs w:val="24"/>
          <w:lang w:eastAsia="fr-FR"/>
        </w:rPr>
        <w:t></w:t>
      </w:r>
      <w:r w:rsidRPr="00915DA7">
        <w:rPr>
          <w:rFonts w:ascii="Times New Roman" w:eastAsia="Times New Roman" w:hAnsi="Times New Roman" w:cs="Times New Roman"/>
          <w:sz w:val="24"/>
          <w:szCs w:val="24"/>
          <w:lang w:eastAsia="fr-FR"/>
        </w:rPr>
        <w:t xml:space="preserve"> </w:t>
      </w:r>
      <w:r w:rsidRPr="00915DA7">
        <w:rPr>
          <w:rFonts w:ascii="Lato" w:eastAsia="Times New Roman" w:hAnsi="Lato" w:cs="Times New Roman"/>
          <w:b/>
          <w:sz w:val="20"/>
          <w:szCs w:val="24"/>
          <w:lang w:eastAsia="fr-FR"/>
        </w:rPr>
        <w:t>prend acte</w:t>
      </w:r>
      <w:r w:rsidRPr="00915DA7">
        <w:rPr>
          <w:rFonts w:ascii="Lato" w:eastAsia="Times New Roman" w:hAnsi="Lato" w:cs="Times New Roman"/>
          <w:sz w:val="20"/>
          <w:szCs w:val="24"/>
          <w:lang w:eastAsia="fr-FR"/>
        </w:rPr>
        <w:t xml:space="preserve"> que les modalités d’application et de suivi de cette Charte seront communiquées aux agents et feront l’objet d’une évaluation régulière</w:t>
      </w:r>
      <w:r w:rsidRPr="00915DA7">
        <w:rPr>
          <w:rFonts w:ascii="Lato" w:eastAsia="Times New Roman" w:hAnsi="Lato" w:cs="Times New Roman"/>
          <w:szCs w:val="24"/>
          <w:lang w:eastAsia="fr-FR"/>
        </w:rPr>
        <w:t>.</w:t>
      </w:r>
    </w:p>
    <w:p w:rsidR="000F6403" w:rsidRDefault="000F6403" w:rsidP="000F6403">
      <w:pPr>
        <w:tabs>
          <w:tab w:val="left" w:pos="720"/>
          <w:tab w:val="left" w:pos="900"/>
        </w:tabs>
        <w:spacing w:after="0" w:line="240" w:lineRule="auto"/>
        <w:jc w:val="both"/>
        <w:rPr>
          <w:rFonts w:ascii="Lato" w:eastAsia="Calibri" w:hAnsi="Lato" w:cs="Times New Roman"/>
          <w:sz w:val="20"/>
          <w:szCs w:val="20"/>
        </w:rPr>
      </w:pPr>
    </w:p>
    <w:p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66C0C531" wp14:editId="0C59E602">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52780E">
                              <w:rPr>
                                <w:rFonts w:ascii="Lato" w:eastAsia="Times New Roman" w:hAnsi="Lato"/>
                                <w:color w:val="000000" w:themeColor="text1"/>
                                <w:sz w:val="20"/>
                                <w:szCs w:val="20"/>
                                <w:lang w:eastAsia="fr-FR"/>
                              </w:rPr>
                              <w:t xml:space="preserve"> 21</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C0C531"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52780E">
                        <w:rPr>
                          <w:rFonts w:ascii="Lato" w:eastAsia="Times New Roman" w:hAnsi="Lato"/>
                          <w:color w:val="000000" w:themeColor="text1"/>
                          <w:sz w:val="20"/>
                          <w:szCs w:val="20"/>
                          <w:lang w:eastAsia="fr-FR"/>
                        </w:rPr>
                        <w:t xml:space="preserve"> 21</w:t>
                      </w:r>
                      <w:bookmarkStart w:id="1" w:name="_GoBack"/>
                      <w:bookmarkEnd w:id="1"/>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v:textbox>
              </v:shape>
            </w:pict>
          </mc:Fallback>
        </mc:AlternateContent>
      </w:r>
    </w:p>
    <w:p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A6624" w:rsidRPr="00CD3C1B" w:rsidRDefault="008A6624" w:rsidP="008A6624">
      <w:pPr>
        <w:spacing w:after="0"/>
        <w:jc w:val="both"/>
      </w:pPr>
    </w:p>
    <w:p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sectPr w:rsidR="008A6624"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4AE"/>
    <w:multiLevelType w:val="multilevel"/>
    <w:tmpl w:val="AF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1"/>
  </w:num>
  <w:num w:numId="5">
    <w:abstractNumId w:val="1"/>
  </w:num>
  <w:num w:numId="6">
    <w:abstractNumId w:val="6"/>
  </w:num>
  <w:num w:numId="7">
    <w:abstractNumId w:val="9"/>
  </w:num>
  <w:num w:numId="8">
    <w:abstractNumId w:val="2"/>
  </w:num>
  <w:num w:numId="9">
    <w:abstractNumId w:val="4"/>
  </w:num>
  <w:num w:numId="10">
    <w:abstractNumId w:val="7"/>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531A1"/>
    <w:rsid w:val="00062CE0"/>
    <w:rsid w:val="000647AD"/>
    <w:rsid w:val="000768BD"/>
    <w:rsid w:val="00090224"/>
    <w:rsid w:val="000B519B"/>
    <w:rsid w:val="000D006F"/>
    <w:rsid w:val="000F6403"/>
    <w:rsid w:val="00102A22"/>
    <w:rsid w:val="0014686C"/>
    <w:rsid w:val="001478BB"/>
    <w:rsid w:val="00160894"/>
    <w:rsid w:val="00176E28"/>
    <w:rsid w:val="00183E67"/>
    <w:rsid w:val="001C1FEB"/>
    <w:rsid w:val="00210158"/>
    <w:rsid w:val="00212FBD"/>
    <w:rsid w:val="002140D7"/>
    <w:rsid w:val="002304AC"/>
    <w:rsid w:val="00233206"/>
    <w:rsid w:val="00291301"/>
    <w:rsid w:val="002A4C48"/>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2780E"/>
    <w:rsid w:val="00544E67"/>
    <w:rsid w:val="0054656C"/>
    <w:rsid w:val="005A0CAD"/>
    <w:rsid w:val="00661983"/>
    <w:rsid w:val="00666996"/>
    <w:rsid w:val="006B11C1"/>
    <w:rsid w:val="006D188F"/>
    <w:rsid w:val="006D2BD3"/>
    <w:rsid w:val="006D3B2D"/>
    <w:rsid w:val="00720DBC"/>
    <w:rsid w:val="00752A99"/>
    <w:rsid w:val="00793115"/>
    <w:rsid w:val="007976C7"/>
    <w:rsid w:val="007A442E"/>
    <w:rsid w:val="007B4D26"/>
    <w:rsid w:val="007C3E13"/>
    <w:rsid w:val="007D2D9E"/>
    <w:rsid w:val="007E5057"/>
    <w:rsid w:val="007F250D"/>
    <w:rsid w:val="0080049B"/>
    <w:rsid w:val="00807939"/>
    <w:rsid w:val="00811732"/>
    <w:rsid w:val="0088509F"/>
    <w:rsid w:val="008A6624"/>
    <w:rsid w:val="008D4374"/>
    <w:rsid w:val="008F380E"/>
    <w:rsid w:val="0090235D"/>
    <w:rsid w:val="00915DA7"/>
    <w:rsid w:val="00924986"/>
    <w:rsid w:val="00953E09"/>
    <w:rsid w:val="00971AA9"/>
    <w:rsid w:val="0098271C"/>
    <w:rsid w:val="009A2915"/>
    <w:rsid w:val="009A5A19"/>
    <w:rsid w:val="009D02FF"/>
    <w:rsid w:val="009F0223"/>
    <w:rsid w:val="00A207C9"/>
    <w:rsid w:val="00A27856"/>
    <w:rsid w:val="00A67685"/>
    <w:rsid w:val="00B10B5F"/>
    <w:rsid w:val="00B13816"/>
    <w:rsid w:val="00B20FC9"/>
    <w:rsid w:val="00B27BE5"/>
    <w:rsid w:val="00B627DA"/>
    <w:rsid w:val="00B9559C"/>
    <w:rsid w:val="00BB38AD"/>
    <w:rsid w:val="00BC560F"/>
    <w:rsid w:val="00BE25EB"/>
    <w:rsid w:val="00C22E81"/>
    <w:rsid w:val="00C24ADC"/>
    <w:rsid w:val="00C47AA7"/>
    <w:rsid w:val="00CC5338"/>
    <w:rsid w:val="00CD0C2B"/>
    <w:rsid w:val="00CD4092"/>
    <w:rsid w:val="00D37A55"/>
    <w:rsid w:val="00D80935"/>
    <w:rsid w:val="00E01E88"/>
    <w:rsid w:val="00E11AD5"/>
    <w:rsid w:val="00E1372C"/>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4CDB"/>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604116362">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1269704">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03006354">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E9AE-213C-42EA-BBE8-25C7B6EC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638</Words>
  <Characters>3513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10</cp:revision>
  <cp:lastPrinted>2025-03-26T08:33:00Z</cp:lastPrinted>
  <dcterms:created xsi:type="dcterms:W3CDTF">2025-10-07T14:06:00Z</dcterms:created>
  <dcterms:modified xsi:type="dcterms:W3CDTF">2025-12-18T10:15:00Z</dcterms:modified>
</cp:coreProperties>
</file>